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"/>
        <w:spacing w:before="320" w:after="20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Регламент выполнения операции QR-верификации</w:t>
      </w:r>
    </w:p>
    <w:p>
      <w:pPr>
        <w:pStyle w:val="Style19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Style19"/>
        <w:tabs>
          <w:tab w:val="clear" w:pos="708"/>
          <w:tab w:val="left" w:pos="684" w:leader="none"/>
        </w:tabs>
        <w:spacing w:lineRule="auto" w:line="240" w:before="0" w:after="283"/>
        <w:ind w:left="0" w:right="0" w:firstLine="85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Регламент описывает единый алгоритм действий для администратора МФЦ, регистратора медучреждения и сотрудника учреждения культуры.</w:t>
      </w:r>
    </w:p>
    <w:tbl>
      <w:tblPr>
        <w:tblW w:w="947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90"/>
        <w:gridCol w:w="4073"/>
        <w:gridCol w:w="3312"/>
      </w:tblGrid>
      <w:tr>
        <w:trPr>
          <w:tblHeader w:val="true"/>
        </w:trPr>
        <w:tc>
          <w:tcPr>
            <w:tcW w:w="2090" w:type="dxa"/>
            <w:tcBorders/>
            <w:vAlign w:val="center"/>
          </w:tcPr>
          <w:p>
            <w:pPr>
              <w:pStyle w:val="Style34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Этап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4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Действие сотрудника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4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Система / Результат</w:t>
            </w:r>
          </w:p>
        </w:tc>
      </w:tr>
      <w:tr>
        <w:trPr/>
        <w:tc>
          <w:tcPr>
            <w:tcW w:w="2090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1. Инициация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Заявитель-участник СВО обращается за получением услуги (льготный билет, талон приема). Сотрудник предлагает подтвердить статус через QR-код как приоритетный способ.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На экране АРМ открыта форма ввода/считывания.</w:t>
            </w:r>
          </w:p>
        </w:tc>
      </w:tr>
      <w:tr>
        <w:trPr/>
        <w:tc>
          <w:tcPr>
            <w:tcW w:w="2090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2. Предъявление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Заявитель предъявляет QR-код на экране смартфона.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3"/>
              <w:jc w:val="left"/>
              <w:rPr/>
            </w:pPr>
            <w:r>
              <w:rPr>
                <w:rStyle w:val="Style17"/>
                <w:rFonts w:ascii="Liberation Serif" w:hAnsi="Liberation Serif"/>
                <w:sz w:val="26"/>
                <w:szCs w:val="26"/>
              </w:rPr>
              <w:t>Триггер перехода к этапу 3.</w:t>
            </w:r>
          </w:p>
        </w:tc>
      </w:tr>
      <w:tr>
        <w:trPr/>
        <w:tc>
          <w:tcPr>
            <w:tcW w:w="2090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3. Сканирование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Сотрудник считывает код сканером или камерой терминала под углом 90°, обеспечивая отсутствие бликов. При невозможности считать экран смартфона используется резервный сценарий (см. п. 4).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Код декодирован, отправлен запрос в сервис верификации.</w:t>
            </w:r>
          </w:p>
        </w:tc>
      </w:tr>
      <w:tr>
        <w:trPr/>
        <w:tc>
          <w:tcPr>
            <w:tcW w:w="2090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4. Ожидание ответа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Сотрудник удерживает устройство неподвижно до получения результата.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Тайм-аут запроса жестко ограничен системными настройками (не более 3 секунд).</w:t>
            </w:r>
          </w:p>
        </w:tc>
      </w:tr>
      <w:tr>
        <w:trPr/>
        <w:tc>
          <w:tcPr>
            <w:tcW w:w="2090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5. Обработка успешного сценария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На экране АРМ отображается подтвержденный статус: ФИО (частично), категория льготы, срок действ</w:t>
            </w:r>
            <w:r>
              <w:rPr>
                <w:rFonts w:ascii="Liberation Serif" w:hAnsi="Liberation Serif"/>
                <w:sz w:val="26"/>
                <w:szCs w:val="26"/>
                <w:shd w:fill="auto" w:val="clear"/>
              </w:rPr>
              <w:t xml:space="preserve">ия. </w:t>
            </w:r>
            <w:r>
              <w:rPr>
                <w:rFonts w:ascii="Liberation Serif" w:hAnsi="Liberation Serif"/>
                <w:color w:val="000000"/>
                <w:sz w:val="26"/>
                <w:szCs w:val="26"/>
                <w:shd w:fill="auto" w:val="clear"/>
              </w:rPr>
              <w:t xml:space="preserve">Данные автоматически подтягиваются в форму оформления талона/билета, </w:t>
            </w:r>
            <w:r>
              <w:rPr>
                <w:rFonts w:ascii="Liberation Serif" w:hAnsi="Liberation Serif"/>
                <w:color w:val="000000"/>
                <w:sz w:val="26"/>
                <w:szCs w:val="26"/>
                <w:shd w:fill="auto" w:val="clear"/>
              </w:rPr>
              <w:t>при наличии технической возможно</w:t>
            </w:r>
            <w:r>
              <w:rPr>
                <w:rFonts w:ascii="Liberation Serif" w:hAnsi="Liberation Serif"/>
                <w:color w:val="000000"/>
                <w:sz w:val="26"/>
                <w:szCs w:val="26"/>
                <w:shd w:fill="auto" w:val="clear"/>
              </w:rPr>
              <w:t>сти</w:t>
            </w:r>
            <w:r>
              <w:rPr>
                <w:rFonts w:ascii="Liberation Serif" w:hAnsi="Liberation Serif"/>
                <w:color w:val="C9211E"/>
                <w:sz w:val="26"/>
                <w:szCs w:val="26"/>
                <w:shd w:fill="auto" w:val="clear"/>
              </w:rPr>
              <w:t>.</w:t>
            </w:r>
            <w:r>
              <w:rPr>
                <w:rFonts w:ascii="Liberation Serif" w:hAnsi="Liberation Serif"/>
                <w:sz w:val="26"/>
                <w:szCs w:val="26"/>
                <w:shd w:fill="auto" w:val="clear"/>
              </w:rPr>
              <w:t xml:space="preserve"> Сот</w:t>
            </w:r>
            <w:r>
              <w:rPr>
                <w:rFonts w:ascii="Liberation Serif" w:hAnsi="Liberation Serif"/>
                <w:sz w:val="26"/>
                <w:szCs w:val="26"/>
              </w:rPr>
              <w:t>рудник завершает операцию №4 карты целевого состояния.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Оформлен льготный документ. Процесс закрыт. 0,75 мин.</w:t>
            </w:r>
          </w:p>
        </w:tc>
      </w:tr>
      <w:tr>
        <w:trPr/>
        <w:tc>
          <w:tcPr>
            <w:tcW w:w="2090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6. Обработка неуспешного сценария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Ошибки чтения: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 Повторить сканирование (до 2 попыток). </w:t>
            </w:r>
            <w:r>
              <w:rPr>
                <w:rFonts w:ascii="Liberation Serif" w:hAnsi="Liberation Serif"/>
                <w:b/>
                <w:sz w:val="26"/>
                <w:szCs w:val="26"/>
              </w:rPr>
              <w:t>Сервис недоступен / Технический сбой: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 Немедленный переход к резервному сценарию. </w:t>
            </w:r>
            <w:r>
              <w:rPr>
                <w:rFonts w:ascii="Liberation Serif" w:hAnsi="Liberation Serif"/>
                <w:b/>
                <w:sz w:val="26"/>
                <w:szCs w:val="26"/>
              </w:rPr>
              <w:t>Статус не найден / Отозван:</w:t>
            </w:r>
            <w:r>
              <w:rPr>
                <w:rFonts w:ascii="Liberation Serif" w:hAnsi="Liberation Serif"/>
                <w:sz w:val="26"/>
                <w:szCs w:val="26"/>
              </w:rPr>
              <w:t xml:space="preserve"> Переход к резервному сценарию с фиксацией причины отказа в журнале.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Запрос отклонен системой.</w:t>
            </w:r>
          </w:p>
        </w:tc>
      </w:tr>
      <w:tr>
        <w:trPr/>
        <w:tc>
          <w:tcPr>
            <w:tcW w:w="2090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b/>
                <w:sz w:val="26"/>
                <w:szCs w:val="26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7. Резервный сценарий</w:t>
            </w:r>
          </w:p>
        </w:tc>
        <w:tc>
          <w:tcPr>
            <w:tcW w:w="4073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 xml:space="preserve">Применяется при технической недоступности сервиса, повреждении экрана смартфона заявителя или отсутствии у него QR-кода: 1. Заявитель предъявляет бумажное удостоверение участника СВО (или временное свидетельство). 2. Сотрудник проводит ручную проверку подлинности документа по визуальным признакам и защитным элементам. </w:t>
            </w:r>
            <w:r>
              <w:rPr>
                <w:rFonts w:ascii="Liberation Serif" w:hAnsi="Liberation Serif"/>
                <w:sz w:val="26"/>
                <w:szCs w:val="26"/>
              </w:rPr>
              <w:t>3</w:t>
            </w:r>
            <w:r>
              <w:rPr>
                <w:rFonts w:ascii="Liberation Serif" w:hAnsi="Liberation Serif"/>
                <w:sz w:val="26"/>
                <w:szCs w:val="26"/>
              </w:rPr>
              <w:t>. После успешной ручной проверки оформляется льгота, а заявителю предлагается помощь в генерации нового QR-кода.</w:t>
            </w:r>
          </w:p>
        </w:tc>
        <w:tc>
          <w:tcPr>
            <w:tcW w:w="3312" w:type="dxa"/>
            <w:tcBorders/>
            <w:vAlign w:val="center"/>
          </w:tcPr>
          <w:p>
            <w:pPr>
              <w:pStyle w:val="Style33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Услуга оказана без прерывания клиентского пути. Факт применения резерва фиксируется в отчете мониторинга.</w:t>
            </w:r>
          </w:p>
        </w:tc>
      </w:tr>
    </w:tbl>
    <w:p>
      <w:pPr>
        <w:pStyle w:val="Style32"/>
        <w:rPr>
          <w:sz w:val="28"/>
          <w:szCs w:val="28"/>
        </w:rPr>
      </w:pPr>
      <w:r>
        <w:rPr>
          <w:rFonts w:ascii="Liberation Serif" w:hAnsi="Liberation Serif"/>
        </w:rPr>
      </w:r>
    </w:p>
    <w:sectPr>
      <w:headerReference w:type="default" r:id="rId2"/>
      <w:type w:val="nextPage"/>
      <w:pgSz w:w="11906" w:h="16838"/>
      <w:pgMar w:left="1701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Style30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1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>
    <w:name w:val="Символ сноски"/>
    <w:uiPriority w:val="99"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3">
    <w:name w:val="Endnote Reference"/>
    <w:rPr>
      <w:vertAlign w:val="superscript"/>
    </w:rPr>
  </w:style>
  <w:style w:type="character" w:styleId="-">
    <w:name w:val="Hyperlink"/>
    <w:uiPriority w:val="99"/>
    <w:unhideWhenUsed/>
    <w:rPr>
      <w:color w:val="0000FF"/>
      <w:u w:val="single"/>
    </w:rPr>
  </w:style>
  <w:style w:type="character" w:styleId="Style14" w:customStyle="1">
    <w:name w:val="Текст выноски Знак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Style15" w:customStyle="1">
    <w:name w:val="Верхний колонтитул Знак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e81300"/>
    <w:rPr>
      <w:color w:val="605E5C"/>
      <w:shd w:fill="E1DFDD" w:val="clear"/>
    </w:rPr>
  </w:style>
  <w:style w:type="character" w:styleId="Style17">
    <w:name w:val="Emphasis"/>
    <w:qFormat/>
    <w:rPr>
      <w:i/>
      <w:iCs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Style23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24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472C4" w:themeColor="accent1"/>
      <w:sz w:val="18"/>
      <w:szCs w:val="18"/>
    </w:rPr>
  </w:style>
  <w:style w:type="paragraph" w:styleId="Style25">
    <w:name w:val="Footnote Text"/>
    <w:basedOn w:val="Normal"/>
    <w:link w:val="Style8"/>
    <w:uiPriority w:val="99"/>
    <w:semiHidden/>
    <w:unhideWhenUsed/>
    <w:pPr>
      <w:spacing w:before="0" w:after="40"/>
    </w:pPr>
    <w:rPr>
      <w:sz w:val="18"/>
    </w:rPr>
  </w:style>
  <w:style w:type="paragraph" w:styleId="Style26">
    <w:name w:val="Endnote Text"/>
    <w:basedOn w:val="Normal"/>
    <w:link w:val="Style11"/>
    <w:uiPriority w:val="99"/>
    <w:semiHidden/>
    <w:unhideWhenUsed/>
    <w:pPr/>
    <w:rPr>
      <w:sz w:val="20"/>
    </w:rPr>
  </w:style>
  <w:style w:type="paragraph" w:styleId="12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pPr>
      <w:spacing w:before="0" w:after="57"/>
      <w:ind w:left="2268" w:hanging="0"/>
    </w:pPr>
    <w:rPr/>
  </w:style>
  <w:style w:type="paragraph" w:styleId="Style27">
    <w:name w:val="Index Heading"/>
    <w:basedOn w:val="Style18"/>
    <w:pPr/>
    <w:rPr/>
  </w:style>
  <w:style w:type="paragraph" w:styleId="Style28">
    <w:name w:val="TOC Heading"/>
    <w:uiPriority w:val="39"/>
    <w:unhideWhenUsed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NormalWeb">
    <w:name w:val="Normal (Web)"/>
    <w:basedOn w:val="Normal"/>
    <w:unhideWhenUsed/>
    <w:qFormat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link w:val="Style15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link w:val="Style16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2">
    <w:name w:val="Body Text First Indent"/>
    <w:basedOn w:val="Normal"/>
    <w:pPr>
      <w:ind w:left="0" w:right="0" w:firstLine="709"/>
      <w:jc w:val="both"/>
    </w:pPr>
    <w:rPr/>
  </w:style>
  <w:style w:type="paragraph" w:styleId="Style33">
    <w:name w:val="Содержимое таблицы"/>
    <w:basedOn w:val="Normal"/>
    <w:qFormat/>
    <w:pPr/>
    <w:rPr/>
  </w:style>
  <w:style w:type="paragraph" w:styleId="Style34">
    <w:name w:val="Заголовок таблицы"/>
    <w:basedOn w:val="Style33"/>
    <w:qFormat/>
    <w:pPr>
      <w:jc w:val="center"/>
    </w:pPr>
    <w:rPr>
      <w:b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EC4E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Row">
      <w:rPr>
        <w:b/>
        <w:color w:val="A0B7E1" w:themeColor="accent1" w:themeTint="80" w:themeShade="95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lastCol">
      <w:rPr>
        <w:b/>
        <w:color w:val="A0B7E1" w:themeColor="accent1" w:themeTint="80" w:themeShade="95"/>
      </w:rPr>
      <w:tblPr/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val="F4B184" w:themeColor="accent2" w:themeTint="97" w:themeShade="95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e" w:themeShade="95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lastCol">
      <w:rPr>
        <w:b/>
        <w:color w:val="A5A5A5"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val="FFD865" w:themeColor="accent4" w:themeTint="9a" w:themeShade="95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A8D" w:themeColor="accent5" w:themeShade="95"/>
      </w:rPr>
      <w:tblPr/>
    </w:tblStylePr>
    <w:tblStylePr w:type="firstCol">
      <w:rPr>
        <w:b/>
        <w:color w:val="245A8D" w:themeColor="accent5" w:themeShade="95"/>
      </w:rPr>
      <w:tblPr/>
    </w:tblStylePr>
    <w:tblStylePr w:type="lastCol">
      <w:rPr>
        <w:b/>
        <w:color w:val="245A8D"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5" w:themeColor="accent1" w:themeShade="95"/>
      </w:rPr>
      <w:tblPr/>
    </w:tblStylePr>
    <w:tblStylePr w:type="lastCol">
      <w:rPr>
        <w:b/>
        <w:color w:val="254175" w:themeColor="accent1" w:themeShade="95"/>
      </w:rPr>
      <w:tblPr/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val="F4B184" w:themeColor="accent2" w:themeTint="97" w:themeShade="95"/>
      </w:rPr>
      <w:tblPr/>
    </w:tblStylePr>
    <w:tblStylePr w:type="lastCol">
      <w:rPr>
        <w:b/>
        <w:color w:val="F4B184"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8" w:themeShade="95"/>
      </w:rPr>
      <w:tblPr/>
    </w:tblStylePr>
    <w:tblStylePr w:type="lastCol">
      <w:rPr>
        <w:b/>
        <w:color w:val="C9C9C9"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val="FFD865" w:themeColor="accent4" w:themeTint="9a" w:themeShade="95"/>
      </w:rPr>
      <w:tblPr/>
    </w:tblStylePr>
    <w:tblStylePr w:type="lastCol">
      <w:rPr>
        <w:b/>
        <w:color w:val="FFD865"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firstCol">
      <w:rPr>
        <w:b/>
        <w:color w:val="9BC2E5" w:themeColor="accent5" w:themeTint="9a" w:themeShade="95"/>
      </w:rPr>
      <w:tblPr/>
    </w:tblStylePr>
    <w:tblStylePr w:type="lastCol">
      <w:rPr>
        <w:b/>
        <w:color w:val="9BC2E5" w:themeColor="accent5" w:themeTint="9a" w:themeShade="95"/>
      </w:rPr>
      <w:tblPr/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08E" w:themeColor="accent6" w:themeTint="98" w:themeShade="95"/>
      </w:rPr>
      <w:tblPr/>
    </w:tblStylePr>
    <w:tblStylePr w:type="lastCol">
      <w:rPr>
        <w:b/>
        <w:color w:val="A9D08E"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C2E5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af5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AE600-5B0F-4D88-B515-6362EB956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Application>LibreOffice/7.5.2.1$Linux_X86_64 LibreOffice_project/50$Build-1</Application>
  <AppVersion>15.0000</AppVersion>
  <Pages>2</Pages>
  <Words>266</Words>
  <Characters>1900</Characters>
  <CharactersWithSpaces>2139</CharactersWithSpaces>
  <Paragraphs>27</Paragraphs>
  <Company>UralSOFT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2025-02-17T12:41:00Z</dcterms:created>
  <dc:creator>!</dc:creator>
  <dc:description/>
  <dc:language>ru-RU</dc:language>
  <cp:lastModifiedBy/>
  <cp:lastPrinted>2025-01-16T12:56:00Z</cp:lastPrinted>
  <dcterms:modified xsi:type="dcterms:W3CDTF">2026-09-23T15:44:39Z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